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jc w:val="center"/>
      </w:pPr>
      <w:r>
        <w:t xml:space="preserve">SIDE HUSTLE HUB</w:t>
      </w:r>
      <w:r>
        <w:rPr>
          <w:b/>
          <w:bCs/>
          <w:color w:val="38BDF8"/>
          <w:sz w:val="22"/>
          <w:szCs w:val="22"/>
        </w:rPr>
        <w:t xml:space="preserve">SIDE HUSTLE HUB</w:t>
      </w:r>
    </w:p>
    <w:p>
      <w:pPr>
        <w:spacing w:after="300"/>
      </w:pPr>
    </w:p>
    <w:p>
      <w:pPr>
        <w:spacing w:after="120"/>
        <w:jc w:val="center"/>
      </w:pPr>
      <w:r>
        <w:rPr>
          <w:b/>
          <w:bCs/>
          <w:sz w:val="48"/>
          <w:szCs w:val="48"/>
        </w:rPr>
        <w:t xml:space="preserve">Network to Capital</w:t>
      </w:r>
    </w:p>
    <w:p>
      <w:pPr>
        <w:spacing w:after="600"/>
        <w:jc w:val="center"/>
      </w:pPr>
      <w:r>
        <w:rPr>
          <w:i/>
          <w:iCs/>
          <w:color w:val="64748B"/>
          <w:sz w:val="24"/>
          <w:szCs w:val="24"/>
        </w:rPr>
        <w:t xml:space="preserve">Partner Up, Buy an Asset</w:t>
      </w:r>
    </w:p>
    <w:p>
      <w:pPr>
        <w:spacing w:after="100"/>
        <w:jc w:val="center"/>
      </w:pPr>
      <w:r>
        <w:rPr>
          <w:color w:val="94A3B8"/>
          <w:sz w:val="20"/>
          <w:szCs w:val="20"/>
        </w:rPr>
        <w:t xml:space="preserve">No signup. No database. No cost.</w:t>
      </w:r>
    </w:p>
    <w:p>
      <w:pPr>
        <w:jc w:val="center"/>
      </w:pPr>
      <w:r>
        <w:rPr>
          <w:color w:val="94A3B8"/>
          <w:sz w:val="20"/>
          <w:szCs w:val="20"/>
        </w:rPr>
        <w:t xml:space="preserve">Share the link or donate what you can — that’s the only ask.</w:t>
      </w:r>
    </w:p>
    <w:p>
      <w:pPr>
        <w:pageBreakBefore/>
      </w:pPr>
      <w:r>
        <w:br/>
        <w:t xml:space="preserve"/>
      </w:r>
    </w:p>
    <w:p>
      <w:pPr>
        <w:pStyle w:val="Heading1"/>
        <w:spacing w:after="180" w:before="360"/>
      </w:pPr>
      <w:r>
        <w:t xml:space="preserve">The Story</w:t>
      </w:r>
    </w:p>
    <w:p>
      <w:pPr>
        <w:spacing w:after="200"/>
        <w:jc w:val="left"/>
      </w:pPr>
      <w:r>
        <w:rPr>
          <w:b w:val="false"/>
          <w:bCs w:val="false"/>
          <w:i w:val="false"/>
          <w:iCs w:val="false"/>
        </w:rPr>
        <w:t xml:space="preserve">You don’t have enough for a deposit on your own. But you know two other people in the same boat — each of you has a bit saved, none of you has enough alone. You sit down together and work it out: if each of you puts in a third, and the bank sees three incomes instead of one, can you qualify for a bond on a small house near the university?</w:t>
      </w:r>
    </w:p>
    <w:p>
      <w:pPr>
        <w:spacing w:after="200"/>
        <w:jc w:val="left"/>
      </w:pPr>
      <w:r>
        <w:rPr>
          <w:b w:val="false"/>
          <w:bCs w:val="false"/>
          <w:i w:val="false"/>
          <w:iCs w:val="false"/>
        </w:rPr>
        <w:t xml:space="preserve">You find a property. Before anyone signs anything, the three of you write down — on paper, not just talk — who owns what percentage, who’s responsible for what, and what happens if one of you wants out in two years. You take that agreement to a bond originator or the banks directly. You get approved.</w:t>
      </w:r>
    </w:p>
    <w:p>
      <w:pPr>
        <w:spacing w:after="200"/>
        <w:jc w:val="left"/>
      </w:pPr>
      <w:r>
        <w:rPr>
          <w:b w:val="false"/>
          <w:bCs w:val="false"/>
          <w:i w:val="false"/>
          <w:iCs w:val="false"/>
        </w:rPr>
        <w:t xml:space="preserve">You buy the house, fix up the rooms cheaply, and rent to five students. The rent covers the bond and the rates. What’s left after maintenance is split three ways. Your first "customer" isn’t a buyer — it’s the first tenant who signs a lease and pays their deposit.</w:t>
      </w:r>
    </w:p>
    <w:p>
      <w:pPr>
        <w:pStyle w:val="Heading1"/>
        <w:spacing w:after="180" w:before="360"/>
      </w:pPr>
      <w:r>
        <w:t xml:space="preserve">The Business Plan</w:t>
      </w:r>
    </w:p>
    <w:p>
      <w:pPr>
        <w:pStyle w:val="Heading2"/>
        <w:spacing w:after="140" w:before="280"/>
      </w:pPr>
      <w:r>
        <w:t xml:space="preserve">The Idea</w:t>
      </w:r>
    </w:p>
    <w:p>
      <w:pPr>
        <w:spacing w:after="200"/>
        <w:jc w:val="left"/>
      </w:pPr>
      <w:r>
        <w:rPr>
          <w:b w:val="false"/>
          <w:bCs w:val="false"/>
          <w:i w:val="false"/>
          <w:iCs w:val="false"/>
        </w:rPr>
        <w:t xml:space="preserve">Pool resources with trusted partners to qualify for a joint bond, buy a property in a high-demand rental area (near a university or college), and rent it out room by room to cover the bond and generate a margin.</w:t>
      </w:r>
    </w:p>
    <w:p>
      <w:pPr>
        <w:pStyle w:val="Heading2"/>
        <w:spacing w:after="140" w:before="280"/>
      </w:pPr>
      <w:r>
        <w:t xml:space="preserve">Goal — What "Working" Looks Like</w:t>
      </w:r>
    </w:p>
    <w:p>
      <w:pPr>
        <w:spacing w:after="200"/>
        <w:jc w:val="left"/>
      </w:pPr>
      <w:r>
        <w:rPr>
          <w:b w:val="false"/>
          <w:bCs w:val="false"/>
          <w:i w:val="false"/>
          <w:iCs w:val="false"/>
        </w:rPr>
        <w:t xml:space="preserve">These are example targets to aim for and measure yourself against — not promises. Your actual results depend on your effort, your area, and a bit of luck.</w:t>
      </w:r>
    </w:p>
    <w:p>
      <w:pPr>
        <w:pStyle w:val="ListParagraph"/>
        <w:numPr>
          <w:ilvl w:val="0"/>
          <w:numId w:val="2"/>
        </w:numPr>
        <w:spacing w:after="100"/>
      </w:pPr>
      <w:r>
        <w:t xml:space="preserve">Month 1–2: find partners and agree a written co-ownership agreement before you view properties seriously</w:t>
      </w:r>
    </w:p>
    <w:p>
      <w:pPr>
        <w:pStyle w:val="ListParagraph"/>
        <w:numPr>
          <w:ilvl w:val="0"/>
          <w:numId w:val="2"/>
        </w:numPr>
        <w:spacing w:after="100"/>
      </w:pPr>
      <w:r>
        <w:t xml:space="preserve">Month 2–4: get bond pre-approval, find and buy the property</w:t>
      </w:r>
    </w:p>
    <w:p>
      <w:pPr>
        <w:pStyle w:val="ListParagraph"/>
        <w:numPr>
          <w:ilvl w:val="0"/>
          <w:numId w:val="2"/>
        </w:numPr>
        <w:spacing w:after="100"/>
      </w:pPr>
      <w:r>
        <w:t xml:space="preserve">Month 4–6: fix up rooms and find your first tenants — aim to be fully let before the first bond repayment is due</w:t>
      </w:r>
    </w:p>
    <w:p>
      <w:pPr>
        <w:pStyle w:val="ListParagraph"/>
        <w:numPr>
          <w:ilvl w:val="0"/>
          <w:numId w:val="2"/>
        </w:numPr>
        <w:spacing w:after="100"/>
      </w:pPr>
      <w:r>
        <w:t xml:space="preserve">Year 1: track actual rent income against the bond, rates, and maintenance to confirm the numbers genuinely work</w:t>
      </w:r>
    </w:p>
    <w:p>
      <w:pPr>
        <w:pStyle w:val="ListParagraph"/>
        <w:numPr>
          <w:ilvl w:val="0"/>
          <w:numId w:val="2"/>
        </w:numPr>
        <w:spacing w:after="100"/>
      </w:pPr>
      <w:r>
        <w:t xml:space="preserve">Year 3–5: reassess — has your equity grown enough to refinance, buy a second property, or exit?</w:t>
      </w:r>
    </w:p>
    <w:p>
      <w:pPr>
        <w:pStyle w:val="Heading2"/>
        <w:spacing w:after="140" w:before="280"/>
      </w:pPr>
      <w:r>
        <w:t xml:space="preserve">How to Branch Once It’s Working</w:t>
      </w:r>
    </w:p>
    <w:p>
      <w:pPr>
        <w:spacing w:after="200"/>
        <w:jc w:val="left"/>
      </w:pPr>
      <w:r>
        <w:rPr>
          <w:b w:val="false"/>
          <w:bCs w:val="false"/>
          <w:i w:val="false"/>
          <w:iCs w:val="false"/>
        </w:rPr>
        <w:t xml:space="preserve">Once one property is running and the numbers are proven, the same partner group (or a new one) can repeat the model with a second property — using the equity built up in the first as part of the deposit for the next bond. That’s how this scales: not by saving cash from scratch again, but by recycling equity.</w:t>
      </w:r>
    </w:p>
    <w:p>
      <w:pPr>
        <w:pStyle w:val="Heading1"/>
        <w:spacing w:after="180" w:before="360"/>
      </w:pPr>
      <w:r>
        <w:t xml:space="preserve">Gathering Intelligence (Organised Information)</w:t>
      </w:r>
    </w:p>
    <w:p>
      <w:pPr>
        <w:spacing w:after="200"/>
        <w:jc w:val="left"/>
      </w:pPr>
      <w:r>
        <w:rPr>
          <w:b w:val="false"/>
          <w:bCs w:val="false"/>
          <w:i w:val="false"/>
          <w:iCs w:val="false"/>
        </w:rPr>
        <w:t xml:space="preserve">Before buying anything, find the real rental demand near the property — how many students or renters are actually looking, what they currently pay for a room, and what vacancy rates look like in the area. Talk to a local letting agent, check listing sites for comparable rooms, and ask current landlords in the area about their occupancy. Get real numbers before you assume the rent will cover the bond.</w:t>
      </w:r>
    </w:p>
    <w:p>
      <w:pPr>
        <w:pStyle w:val="Heading1"/>
        <w:spacing w:after="180" w:before="360"/>
      </w:pPr>
      <w:r>
        <w:t xml:space="preserve">Legal: Bylaws &amp; Permits to Check</w:t>
      </w:r>
    </w:p>
    <w:p>
      <w:pPr>
        <w:spacing w:after="200"/>
        <w:jc w:val="left"/>
      </w:pPr>
      <w:r>
        <w:rPr>
          <w:b w:val="false"/>
          <w:bCs w:val="false"/>
          <w:i w:val="false"/>
          <w:iCs w:val="false"/>
        </w:rPr>
        <w:t xml:space="preserve">A joint bond makes every co-owner jointly and severally liable — if one partner stops paying, the others are still legally responsible for the full repayment, not just their share. South African banks assess the credit profile and affordability of every co-applicant, not just one.</w:t>
      </w:r>
    </w:p>
    <w:p>
      <w:pPr>
        <w:spacing w:after="200"/>
        <w:jc w:val="left"/>
      </w:pPr>
      <w:r>
        <w:rPr>
          <w:b w:val="false"/>
          <w:bCs w:val="false"/>
          <w:i w:val="false"/>
          <w:iCs w:val="false"/>
        </w:rPr>
        <w:t xml:space="preserve">Draw up a formal, written co-ownership agreement before you sign any Offer to Purchase. It should cover ownership percentages, responsibility for repayments and maintenance, how decisions get made, and exactly how a partner can exit.</w:t>
      </w:r>
    </w:p>
    <w:p>
      <w:pPr>
        <w:spacing w:after="200"/>
        <w:jc w:val="left"/>
      </w:pPr>
      <w:r>
        <w:rPr>
          <w:b w:val="false"/>
          <w:bCs w:val="false"/>
          <w:i w:val="false"/>
          <w:iCs w:val="false"/>
        </w:rPr>
        <w:t xml:space="preserve">When property changes hands, a valid electrical compliance certificate is a standard legal requirement. If you’re renting to multiple unrelated tenants, check whether your specific property’s zoning allows this — some residential zones restrict the number of unrelated occupants or require extra approval for that kind of use.</w:t>
      </w:r>
    </w:p>
    <w:p>
      <w:pPr>
        <w:spacing w:after="200"/>
        <w:jc w:val="left"/>
      </w:pPr>
      <w:r>
        <w:rPr>
          <w:b w:val="false"/>
          <w:bCs w:val="false"/>
          <w:i/>
          <w:iCs/>
        </w:rPr>
        <w:t xml:space="preserve">This is general information, not legal advice — confirm the specifics for your municipality before you trade.</w:t>
      </w:r>
    </w:p>
    <w:p>
      <w:pPr>
        <w:pStyle w:val="Heading1"/>
        <w:spacing w:after="180" w:before="360"/>
      </w:pPr>
      <w:r>
        <w:t xml:space="preserve">Action Checklist</w:t>
      </w:r>
    </w:p>
    <w:p>
      <w:pPr>
        <w:spacing w:after="100"/>
      </w:pPr>
      <w:r>
        <w:t xml:space="preserve">☐  List of potential partners and what each can realistically contribute</w:t>
      </w:r>
    </w:p>
    <w:p>
      <w:pPr>
        <w:spacing w:after="100"/>
      </w:pPr>
      <w:r>
        <w:t xml:space="preserve">☐  Written co-ownership agreement, signed before any Offer to Purchase</w:t>
      </w:r>
    </w:p>
    <w:p>
      <w:pPr>
        <w:spacing w:after="100"/>
      </w:pPr>
      <w:r>
        <w:t xml:space="preserve">☐  Local rental demand check (agents, listings, current landlords)</w:t>
      </w:r>
    </w:p>
    <w:p>
      <w:pPr>
        <w:spacing w:after="100"/>
      </w:pPr>
      <w:r>
        <w:t xml:space="preserve">☐  Bond pre-approval</w:t>
      </w:r>
    </w:p>
    <w:p>
      <w:pPr>
        <w:spacing w:after="100"/>
      </w:pPr>
      <w:r>
        <w:t xml:space="preserve">☐  Zoning and compliance check for multi-tenant rental</w:t>
      </w:r>
    </w:p>
    <w:p>
      <w:pPr>
        <w:spacing w:after="100"/>
      </w:pPr>
      <w:r>
        <w:t xml:space="preserve">☐  Rent-vs-bond-and-rates calculator</w:t>
      </w:r>
    </w:p>
    <w:p>
      <w:pPr>
        <w:pStyle w:val="Heading2"/>
        <w:spacing w:after="140" w:before="280"/>
      </w:pPr>
      <w:r>
        <w:t xml:space="preserve">A Straight Note Before You Start</w:t>
      </w:r>
    </w:p>
    <w:p>
      <w:pPr>
        <w:spacing w:after="200"/>
        <w:jc w:val="left"/>
      </w:pPr>
      <w:r>
        <w:rPr>
          <w:b w:val="false"/>
          <w:bCs w:val="false"/>
          <w:i w:val="false"/>
          <w:iCs w:val="false"/>
        </w:rPr>
        <w:t xml:space="preserve">This is not legal, financial, or tax advice. It is genuine information to help you take a real first step. Nothing here guarantees you’ll make money — that depends entirely on the effort you put in, and even then it’s not promised.</w:t>
      </w:r>
    </w:p>
    <w:p>
      <w:pPr>
        <w:spacing w:after="200"/>
        <w:jc w:val="left"/>
      </w:pPr>
      <w:r>
        <w:rPr>
          <w:b w:val="false"/>
          <w:bCs w:val="false"/>
          <w:i w:val="false"/>
          <w:iCs w:val="false"/>
        </w:rPr>
        <w:t xml:space="preserve">The permits and bylaw information in this guide is general and based on national and municipal frameworks current as of 2026. Rules vary by municipality and change over time — confirm the exact requirements for your area with your local municipality (and, where relevant, an attorney) before you trade.</w:t>
      </w:r>
    </w:p>
    <w:p>
      <w:pPr>
        <w:spacing w:after="200"/>
        <w:jc w:val="left"/>
      </w:pPr>
      <w:r>
        <w:rPr>
          <w:b w:val="false"/>
          <w:bCs w:val="false"/>
          <w:i w:val="false"/>
          <w:iCs w:val="false"/>
        </w:rPr>
        <w:t xml:space="preserve">This guide is the property of Side Hustle Hub. Use it for yourself — don’t resell it, redistribute it, or claim you wrote it.</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04" w:hanging="288"/>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2026-07-24T21:06:48.844Z</dcterms:created>
  <dcterms:modified xsi:type="dcterms:W3CDTF">2026-07-24T21:06:48.844Z</dcterms:modified>
</cp:coreProperties>
</file>

<file path=docProps/custom.xml><?xml version="1.0" encoding="utf-8"?>
<Properties xmlns="http://schemas.openxmlformats.org/officeDocument/2006/custom-properties" xmlns:vt="http://schemas.openxmlformats.org/officeDocument/2006/docPropsVTypes"/>
</file>